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B6" w:rsidRDefault="007310E3" w:rsidP="007310E3">
      <w:pPr>
        <w:pStyle w:val="LAG1"/>
      </w:pPr>
      <w:r w:rsidRPr="007310E3">
        <w:t>Pressemitteilung</w:t>
      </w:r>
    </w:p>
    <w:p w:rsidR="007310E3" w:rsidRPr="007310E3" w:rsidRDefault="007310E3" w:rsidP="007310E3">
      <w:pPr>
        <w:pStyle w:val="LAGStandard"/>
      </w:pPr>
    </w:p>
    <w:p w:rsidR="00946966" w:rsidRDefault="007310E3" w:rsidP="00946966">
      <w:pPr>
        <w:pStyle w:val="LAG1"/>
      </w:pPr>
      <w:r>
        <w:t xml:space="preserve">+++ </w:t>
      </w:r>
      <w:r w:rsidR="00946966">
        <w:t>Ergebnis der 6. Sitzung des LAG-Entscheidungsgremiums vom 09.11.2017</w:t>
      </w:r>
      <w:r w:rsidR="00946966">
        <w:t xml:space="preserve"> +++</w:t>
      </w:r>
      <w:r w:rsidR="001A743F">
        <w:t xml:space="preserve"> </w:t>
      </w:r>
      <w:r w:rsidR="00946966">
        <w:t xml:space="preserve">Vier neue </w:t>
      </w:r>
      <w:r w:rsidR="00946966">
        <w:t>LEADER-</w:t>
      </w:r>
      <w:r w:rsidR="00946966">
        <w:t>Projekte auf den Weg gebracht</w:t>
      </w:r>
      <w:r w:rsidR="001A743F">
        <w:t xml:space="preserve"> +++</w:t>
      </w:r>
    </w:p>
    <w:p w:rsidR="0024793E" w:rsidRDefault="0024793E" w:rsidP="0024793E">
      <w:pPr>
        <w:pStyle w:val="LAGStandard"/>
      </w:pPr>
    </w:p>
    <w:p w:rsidR="00946966" w:rsidRDefault="0024793E" w:rsidP="00946966">
      <w:pPr>
        <w:pStyle w:val="LAGStandard"/>
      </w:pPr>
      <w:r>
        <w:t xml:space="preserve">Das Entscheidungsgremium der Lokalen Aktionsgruppe (LAG) Regionalentwicklung Oberallgäu hat auf seiner </w:t>
      </w:r>
      <w:r>
        <w:t>6</w:t>
      </w:r>
      <w:r>
        <w:t>. Sitzung der Förderperiode 2014-20 vier neue Projekte befürwortet und damit den Weg für eine LEADER-Förderung freigemacht</w:t>
      </w:r>
      <w:r w:rsidR="001A743F">
        <w:t>. Vorgestellt wurden zwei Einzel- und zwei Kooperationsprojekte (bei letzteren sind weitere LAGs beteiligt)</w:t>
      </w:r>
      <w:r>
        <w:t xml:space="preserve">. </w:t>
      </w:r>
      <w:r w:rsidR="00946966">
        <w:t>„</w:t>
      </w:r>
      <w:r w:rsidR="006724AB">
        <w:t xml:space="preserve">Erst wenn die </w:t>
      </w:r>
      <w:r w:rsidR="00946966">
        <w:t xml:space="preserve">Zustimmung des Entscheidungsgremiums der Lokalen Aktionsgruppe </w:t>
      </w:r>
      <w:r w:rsidR="006724AB">
        <w:t xml:space="preserve">vorliegt, </w:t>
      </w:r>
      <w:r w:rsidR="00946966">
        <w:t>können Projektträger Fördermittel aus dem LEADER-Programm der Europäischen Union beantragen“, erläutert LAG-Geschäftsführerin Dr. Sabine Weizenegger.</w:t>
      </w:r>
      <w:r w:rsidR="00946966">
        <w:t xml:space="preserve"> Folgende Projekte </w:t>
      </w:r>
      <w:r w:rsidR="001A743F">
        <w:t>haben nun ein positives Votum erhalten</w:t>
      </w:r>
      <w:r w:rsidR="00946966">
        <w:t>:</w:t>
      </w:r>
    </w:p>
    <w:p w:rsidR="00946966" w:rsidRDefault="00946966" w:rsidP="0024793E">
      <w:pPr>
        <w:pStyle w:val="LAGStandard"/>
      </w:pPr>
    </w:p>
    <w:p w:rsidR="001A743F" w:rsidRDefault="001A743F" w:rsidP="0024793E">
      <w:pPr>
        <w:pStyle w:val="LAGStandard"/>
      </w:pPr>
      <w:r>
        <w:t>Einzelprojekte:</w:t>
      </w:r>
    </w:p>
    <w:p w:rsidR="001A743F" w:rsidRDefault="001A743F" w:rsidP="0024793E">
      <w:pPr>
        <w:pStyle w:val="LAGStandard"/>
      </w:pPr>
    </w:p>
    <w:p w:rsidR="0024793E" w:rsidRDefault="0024793E" w:rsidP="0024793E">
      <w:pPr>
        <w:pStyle w:val="LAGAufzStrich"/>
      </w:pPr>
      <w:r w:rsidRPr="0024793E">
        <w:t xml:space="preserve">In dem Projekt </w:t>
      </w:r>
      <w:r w:rsidRPr="0024793E">
        <w:rPr>
          <w:b/>
        </w:rPr>
        <w:t>Reaktivierung der Oberen Mühle Wertach</w:t>
      </w:r>
      <w:r>
        <w:t xml:space="preserve"> </w:t>
      </w:r>
      <w:r w:rsidRPr="0024793E">
        <w:t xml:space="preserve">sollen in einer ehemaligen Mühle, die urkundlich 1536 das erste Mal erwähnt wurde, ein Wasserrad sowie eine Mühlstube inkl. Mahlwerk nach historischen Vorbildern zu </w:t>
      </w:r>
      <w:proofErr w:type="spellStart"/>
      <w:r w:rsidRPr="0024793E">
        <w:t>Demonstrations¬zwecken</w:t>
      </w:r>
      <w:proofErr w:type="spellEnd"/>
      <w:r w:rsidRPr="0024793E">
        <w:t xml:space="preserve"> installiert und für die Öffentlichkeit zugänglich und erfahrbar gemacht werden. Damit wird – zusammen mit der zugehörigen Besucherinfrastruktur und begleitenden Öffentlichkeitsarbeit – ein Stück Kulturgut und Heimatgeschichte in Wert gesetzt und die Identität im Markt Wertach (der drei Mühlen im Wappen trägt) ausgebaut.</w:t>
      </w:r>
    </w:p>
    <w:p w:rsidR="001A743F" w:rsidRDefault="001A743F" w:rsidP="001A743F">
      <w:pPr>
        <w:pStyle w:val="LAGAufzStrich"/>
        <w:numPr>
          <w:ilvl w:val="0"/>
          <w:numId w:val="0"/>
        </w:numPr>
        <w:ind w:left="340"/>
      </w:pPr>
    </w:p>
    <w:p w:rsidR="0024793E" w:rsidRDefault="0024793E" w:rsidP="0024793E">
      <w:pPr>
        <w:pStyle w:val="LAGAufzStrich"/>
      </w:pPr>
      <w:r>
        <w:t>U</w:t>
      </w:r>
      <w:r w:rsidRPr="0024793E">
        <w:t xml:space="preserve">nter Trägerschaft des Marktes Buchenberg und im Rahmen des Mountainbike Trail Center Allgäuer Seenland ein </w:t>
      </w:r>
      <w:r w:rsidRPr="0024793E">
        <w:rPr>
          <w:b/>
        </w:rPr>
        <w:t>Mountainbike-Fahrtechnikzentrum</w:t>
      </w:r>
      <w:r w:rsidRPr="0024793E">
        <w:t xml:space="preserve">. Durch Anlage eines Pumptracks und eines </w:t>
      </w:r>
      <w:proofErr w:type="spellStart"/>
      <w:r w:rsidRPr="0024793E">
        <w:t>Flowtrails</w:t>
      </w:r>
      <w:proofErr w:type="spellEnd"/>
      <w:r w:rsidRPr="0024793E">
        <w:t xml:space="preserve"> können das Gelände des kleinen Skigebiets </w:t>
      </w:r>
      <w:proofErr w:type="spellStart"/>
      <w:r w:rsidRPr="0024793E">
        <w:t>Eschach</w:t>
      </w:r>
      <w:proofErr w:type="spellEnd"/>
      <w:r w:rsidRPr="0024793E">
        <w:t xml:space="preserve"> und die bestehende Infrastruktur ganzjährig genutzt werden. Entsprechend erhöht sich die Wertschöpfung, das touristische Angebot wird attraktiver und das Vorhaben leistet einen Beitrag zur Besucherlenkung.</w:t>
      </w:r>
      <w:r>
        <w:t xml:space="preserve"> Das Projekt war bereits auf der letzten Sitzung des Gremiums inhaltlich befürwortet worden, damals konnte allerdings aufgrund der Mittelsituation nur ein kleiner Teil der angefragten Fördermittel freigegeben werden.</w:t>
      </w:r>
    </w:p>
    <w:p w:rsidR="001A743F" w:rsidRDefault="001A743F" w:rsidP="001A743F">
      <w:pPr>
        <w:pStyle w:val="LAGAufzStrich"/>
        <w:numPr>
          <w:ilvl w:val="0"/>
          <w:numId w:val="0"/>
        </w:numPr>
        <w:ind w:left="340" w:hanging="340"/>
      </w:pPr>
    </w:p>
    <w:p w:rsidR="001A743F" w:rsidRDefault="001A743F" w:rsidP="001A743F">
      <w:pPr>
        <w:pStyle w:val="LAGAufzStrich"/>
        <w:numPr>
          <w:ilvl w:val="0"/>
          <w:numId w:val="0"/>
        </w:numPr>
        <w:ind w:left="340" w:hanging="340"/>
      </w:pPr>
      <w:r>
        <w:t>Kooperationsprojekte:</w:t>
      </w:r>
    </w:p>
    <w:p w:rsidR="001A743F" w:rsidRDefault="001A743F" w:rsidP="001A743F">
      <w:pPr>
        <w:pStyle w:val="LAGAufzStrich"/>
        <w:numPr>
          <w:ilvl w:val="0"/>
          <w:numId w:val="0"/>
        </w:numPr>
        <w:ind w:left="340" w:hanging="340"/>
      </w:pPr>
    </w:p>
    <w:p w:rsidR="0024793E" w:rsidRDefault="0024793E" w:rsidP="0024793E">
      <w:pPr>
        <w:pStyle w:val="LAGAufzStrich"/>
      </w:pPr>
      <w:r w:rsidRPr="0024793E">
        <w:t xml:space="preserve">Mit dem Projekt </w:t>
      </w:r>
      <w:r w:rsidRPr="0024793E">
        <w:rPr>
          <w:b/>
        </w:rPr>
        <w:t xml:space="preserve">„ÖPNV im Allgäu: Einheitliche Tarifstruktur und Tarifharmonisierung im Busverkehr“ </w:t>
      </w:r>
      <w:r w:rsidRPr="0024793E">
        <w:t xml:space="preserve">soll landkreisübergreifend in den Landkreisen Ober- und Ostallgäu sowie in den Städten Kempten und Kaufbeuren eine Verbesserung des ÖPNV im Bereich Busverkehr erreicht werden. Dies soll vor allem anhand einer einheitlichen Tarifstruktur (z.B. Wabentarif), sowie entsprechender Öffentlichkeitsarbeit erfolgen. Die </w:t>
      </w:r>
      <w:proofErr w:type="spellStart"/>
      <w:r w:rsidRPr="0024793E">
        <w:t>mona</w:t>
      </w:r>
      <w:proofErr w:type="spellEnd"/>
      <w:r w:rsidRPr="0024793E">
        <w:t xml:space="preserve"> GmbH betreut dieses Projekt als Projektträger gemeinsam mit den Projektpartnern (Verkehrsunternehmer und Aufgabenträger aus dem Projektgebiet) während des Projekts und nach Beendigung der Förderung.</w:t>
      </w:r>
      <w:r>
        <w:t xml:space="preserve"> </w:t>
      </w:r>
      <w:r w:rsidR="001A743F">
        <w:br/>
      </w:r>
      <w:r>
        <w:t xml:space="preserve">Bevor ein Antrag gestellt werden kann, muss </w:t>
      </w:r>
      <w:r w:rsidR="00946966">
        <w:t xml:space="preserve">diesem Projekt </w:t>
      </w:r>
      <w:r>
        <w:t xml:space="preserve">auch das Gremium der Lokale Aktionsgruppe </w:t>
      </w:r>
      <w:proofErr w:type="spellStart"/>
      <w:r>
        <w:t>bergaufland</w:t>
      </w:r>
      <w:proofErr w:type="spellEnd"/>
      <w:r>
        <w:t xml:space="preserve"> Ostallgäu noch zustimmen.</w:t>
      </w:r>
    </w:p>
    <w:p w:rsidR="001A743F" w:rsidRDefault="001A743F" w:rsidP="001A743F">
      <w:pPr>
        <w:pStyle w:val="LAGAufzStrich"/>
        <w:numPr>
          <w:ilvl w:val="0"/>
          <w:numId w:val="0"/>
        </w:numPr>
        <w:ind w:left="340"/>
      </w:pPr>
    </w:p>
    <w:p w:rsidR="001A743F" w:rsidRDefault="001A743F" w:rsidP="001A743F">
      <w:pPr>
        <w:pStyle w:val="LAGAufzStrich"/>
      </w:pPr>
      <w:proofErr w:type="spellStart"/>
      <w:r w:rsidRPr="0024793E">
        <w:rPr>
          <w:b/>
        </w:rPr>
        <w:t>GeoNatur</w:t>
      </w:r>
      <w:proofErr w:type="spellEnd"/>
      <w:r w:rsidRPr="0024793E">
        <w:rPr>
          <w:b/>
        </w:rPr>
        <w:t>/</w:t>
      </w:r>
      <w:proofErr w:type="spellStart"/>
      <w:r w:rsidRPr="0024793E">
        <w:rPr>
          <w:b/>
        </w:rPr>
        <w:t>Regenweg</w:t>
      </w:r>
      <w:proofErr w:type="spellEnd"/>
      <w:r w:rsidRPr="0024793E">
        <w:rPr>
          <w:b/>
        </w:rPr>
        <w:t xml:space="preserve"> </w:t>
      </w:r>
      <w:proofErr w:type="spellStart"/>
      <w:r w:rsidRPr="0024793E">
        <w:rPr>
          <w:b/>
        </w:rPr>
        <w:t>Balderschwang</w:t>
      </w:r>
      <w:proofErr w:type="spellEnd"/>
      <w:r w:rsidRPr="0024793E">
        <w:rPr>
          <w:b/>
        </w:rPr>
        <w:t>:</w:t>
      </w:r>
      <w:r>
        <w:t xml:space="preserve"> </w:t>
      </w:r>
      <w:r w:rsidRPr="0024793E">
        <w:t xml:space="preserve">In dem länderübergreifenden Kooperationsprojekt </w:t>
      </w:r>
      <w:proofErr w:type="spellStart"/>
      <w:r>
        <w:t>GeoNatur</w:t>
      </w:r>
      <w:proofErr w:type="spellEnd"/>
      <w:r>
        <w:t xml:space="preserve"> </w:t>
      </w:r>
      <w:r w:rsidRPr="0024793E">
        <w:t xml:space="preserve">zum Themenbereich Wasser – Georisiken – Klimawandel werden bestehende Wassererlebnisorte in vier Naturparkgemeinden in Österreich und </w:t>
      </w:r>
      <w:r w:rsidRPr="0024793E">
        <w:lastRenderedPageBreak/>
        <w:t>Deutschland aufgewertet und anschließend gemeinsam beworben. Im Oberallgäu (Deutschland) entsteht mit dem „</w:t>
      </w:r>
      <w:proofErr w:type="spellStart"/>
      <w:r w:rsidRPr="0024793E">
        <w:t>Balderschwanger</w:t>
      </w:r>
      <w:proofErr w:type="spellEnd"/>
      <w:r w:rsidRPr="0024793E">
        <w:t xml:space="preserve"> </w:t>
      </w:r>
      <w:proofErr w:type="spellStart"/>
      <w:r w:rsidRPr="0024793E">
        <w:t>Regenweg</w:t>
      </w:r>
      <w:proofErr w:type="spellEnd"/>
      <w:r w:rsidRPr="0024793E">
        <w:t>“ ein „Schlecht“-Wetter Angebot, bei dem über die Generationen Umweltbildung erlebt werden kann und das zur touristischen Wertschöpfungskette beiträgt.</w:t>
      </w:r>
      <w:r>
        <w:t xml:space="preserve"> </w:t>
      </w:r>
      <w:r>
        <w:br/>
      </w:r>
      <w:r>
        <w:t>Die Zustimmung der ebenfalls beteiligten LAG Regionalentwicklung Vorarlberg (Österreich) liegt bereits vor.</w:t>
      </w:r>
    </w:p>
    <w:p w:rsidR="0024793E" w:rsidRDefault="0024793E" w:rsidP="0024793E">
      <w:pPr>
        <w:pStyle w:val="LAGStandard"/>
      </w:pPr>
    </w:p>
    <w:p w:rsidR="00946966" w:rsidRDefault="00946966" w:rsidP="0024793E">
      <w:pPr>
        <w:pStyle w:val="LAGStandard"/>
      </w:pPr>
      <w:r>
        <w:t xml:space="preserve">Gute Nachrichten hatten </w:t>
      </w:r>
      <w:r w:rsidR="0024793E">
        <w:t xml:space="preserve">der Leiter des </w:t>
      </w:r>
      <w:r>
        <w:t>Amtes für Ernährung, Landwirtschaft und Forsten (</w:t>
      </w:r>
      <w:r w:rsidR="0024793E">
        <w:t>AELF</w:t>
      </w:r>
      <w:r>
        <w:t>)</w:t>
      </w:r>
      <w:r w:rsidR="0024793E">
        <w:t xml:space="preserve"> Kempten, Dr. Alois Kling, und LEADER-Koordinator, Ethelbert </w:t>
      </w:r>
      <w:proofErr w:type="spellStart"/>
      <w:r w:rsidR="0024793E">
        <w:t>Babl</w:t>
      </w:r>
      <w:proofErr w:type="spellEnd"/>
      <w:r w:rsidR="0024793E">
        <w:t xml:space="preserve">, </w:t>
      </w:r>
      <w:r w:rsidR="001A743F">
        <w:t xml:space="preserve">zur Sitzung </w:t>
      </w:r>
      <w:r>
        <w:t xml:space="preserve">mitgebracht: Nachdem die LAG Regionalentwicklung Oberallgäu Ende Oktober nicht nur die vom Bayerischen Landwirtschaftsministerium festgelegten Meilensteine erreicht hat, sondern darüber hinaus eine hohe Fördermittelbindung aufweist, steht eine Erhöhung des Budgets an LEADER-Mitteln in Höhe von 300.000 Euro in Aussicht. Stellvertretender LAG-Vorsitzender Siegfried </w:t>
      </w:r>
      <w:proofErr w:type="spellStart"/>
      <w:r>
        <w:t>Zengerle</w:t>
      </w:r>
      <w:proofErr w:type="spellEnd"/>
      <w:r>
        <w:t xml:space="preserve"> freute sich über diese gute Nachricht, denn durch diesen Betrag dürfe mit Investitionen in Höhe von rund 1 Mio. Euro </w:t>
      </w:r>
      <w:r w:rsidR="001A743F">
        <w:t>im Oberallgäu gerechnet werden.</w:t>
      </w:r>
    </w:p>
    <w:p w:rsidR="0024793E" w:rsidRDefault="0024793E" w:rsidP="0024793E">
      <w:pPr>
        <w:pStyle w:val="LAGStandard"/>
      </w:pPr>
    </w:p>
    <w:p w:rsidR="0024793E" w:rsidRDefault="0024793E" w:rsidP="006724AB">
      <w:pPr>
        <w:pStyle w:val="LAG2"/>
      </w:pPr>
      <w:r>
        <w:t>Eckdaten der auf der Sitzung behandelten Projekte</w:t>
      </w:r>
    </w:p>
    <w:tbl>
      <w:tblPr>
        <w:tblW w:w="9728" w:type="dxa"/>
        <w:tblCellMar>
          <w:left w:w="70" w:type="dxa"/>
          <w:right w:w="70" w:type="dxa"/>
        </w:tblCellMar>
        <w:tblLook w:val="04A0" w:firstRow="1" w:lastRow="0" w:firstColumn="1" w:lastColumn="0" w:noHBand="0" w:noVBand="1"/>
      </w:tblPr>
      <w:tblGrid>
        <w:gridCol w:w="3681"/>
        <w:gridCol w:w="2999"/>
        <w:gridCol w:w="1574"/>
        <w:gridCol w:w="1474"/>
      </w:tblGrid>
      <w:tr w:rsidR="006724AB" w:rsidRPr="00972491" w:rsidTr="006724AB">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4AB" w:rsidRPr="00972491" w:rsidRDefault="006724AB" w:rsidP="006724AB">
            <w:pPr>
              <w:spacing w:before="0" w:after="0"/>
              <w:rPr>
                <w:rFonts w:ascii="Arial" w:hAnsi="Arial" w:cs="Arial"/>
                <w:b/>
                <w:sz w:val="20"/>
                <w:szCs w:val="20"/>
              </w:rPr>
            </w:pPr>
            <w:r w:rsidRPr="00972491">
              <w:rPr>
                <w:rFonts w:ascii="Arial" w:hAnsi="Arial" w:cs="Arial"/>
                <w:b/>
                <w:sz w:val="20"/>
                <w:szCs w:val="20"/>
              </w:rPr>
              <w:t>Projekttitel Einzelprojekte</w:t>
            </w:r>
          </w:p>
        </w:tc>
        <w:tc>
          <w:tcPr>
            <w:tcW w:w="2999" w:type="dxa"/>
            <w:tcBorders>
              <w:top w:val="single" w:sz="4" w:space="0" w:color="auto"/>
              <w:left w:val="nil"/>
              <w:bottom w:val="single" w:sz="4" w:space="0" w:color="auto"/>
              <w:right w:val="single" w:sz="4" w:space="0" w:color="auto"/>
            </w:tcBorders>
            <w:shd w:val="clear" w:color="auto" w:fill="auto"/>
            <w:noWrap/>
            <w:vAlign w:val="bottom"/>
          </w:tcPr>
          <w:p w:rsidR="006724AB" w:rsidRPr="00972491" w:rsidRDefault="006724AB" w:rsidP="006724AB">
            <w:pPr>
              <w:spacing w:before="0" w:after="0"/>
              <w:rPr>
                <w:rFonts w:ascii="Arial" w:hAnsi="Arial" w:cs="Arial"/>
                <w:b/>
                <w:sz w:val="20"/>
                <w:szCs w:val="20"/>
              </w:rPr>
            </w:pPr>
            <w:r w:rsidRPr="00972491">
              <w:rPr>
                <w:rFonts w:ascii="Arial" w:hAnsi="Arial" w:cs="Arial"/>
                <w:b/>
                <w:sz w:val="20"/>
                <w:szCs w:val="20"/>
              </w:rPr>
              <w:t>Projektträger</w:t>
            </w:r>
          </w:p>
        </w:tc>
        <w:tc>
          <w:tcPr>
            <w:tcW w:w="1574" w:type="dxa"/>
            <w:tcBorders>
              <w:top w:val="single" w:sz="4" w:space="0" w:color="auto"/>
              <w:left w:val="nil"/>
              <w:bottom w:val="single" w:sz="4" w:space="0" w:color="auto"/>
              <w:right w:val="single" w:sz="4" w:space="0" w:color="auto"/>
            </w:tcBorders>
            <w:shd w:val="clear" w:color="000000" w:fill="339966"/>
            <w:noWrap/>
            <w:vAlign w:val="bottom"/>
          </w:tcPr>
          <w:p w:rsidR="006724AB" w:rsidRPr="00972491" w:rsidRDefault="006724AB" w:rsidP="006724AB">
            <w:pPr>
              <w:spacing w:before="0" w:after="0"/>
              <w:jc w:val="right"/>
              <w:rPr>
                <w:rFonts w:ascii="Arial" w:hAnsi="Arial" w:cs="Arial"/>
                <w:b/>
                <w:sz w:val="20"/>
                <w:szCs w:val="20"/>
              </w:rPr>
            </w:pPr>
            <w:r w:rsidRPr="00972491">
              <w:rPr>
                <w:rFonts w:ascii="Arial" w:hAnsi="Arial" w:cs="Arial"/>
                <w:b/>
                <w:sz w:val="20"/>
                <w:szCs w:val="20"/>
              </w:rPr>
              <w:t>Gesamtsumme brutto</w:t>
            </w:r>
          </w:p>
        </w:tc>
        <w:tc>
          <w:tcPr>
            <w:tcW w:w="1474" w:type="dxa"/>
            <w:tcBorders>
              <w:top w:val="single" w:sz="4" w:space="0" w:color="auto"/>
              <w:left w:val="nil"/>
              <w:bottom w:val="single" w:sz="4" w:space="0" w:color="auto"/>
              <w:right w:val="single" w:sz="4" w:space="0" w:color="auto"/>
            </w:tcBorders>
            <w:shd w:val="clear" w:color="000000" w:fill="CCFFCC"/>
            <w:noWrap/>
            <w:vAlign w:val="bottom"/>
          </w:tcPr>
          <w:p w:rsidR="006724AB" w:rsidRPr="00972491" w:rsidRDefault="006724AB" w:rsidP="006724AB">
            <w:pPr>
              <w:spacing w:before="0" w:after="0"/>
              <w:jc w:val="right"/>
              <w:rPr>
                <w:rFonts w:ascii="Arial" w:hAnsi="Arial" w:cs="Arial"/>
                <w:b/>
                <w:sz w:val="20"/>
                <w:szCs w:val="20"/>
              </w:rPr>
            </w:pPr>
            <w:r w:rsidRPr="00972491">
              <w:rPr>
                <w:rFonts w:ascii="Arial" w:hAnsi="Arial" w:cs="Arial"/>
                <w:b/>
                <w:sz w:val="20"/>
                <w:szCs w:val="20"/>
              </w:rPr>
              <w:t>Fördersumme</w:t>
            </w:r>
          </w:p>
        </w:tc>
      </w:tr>
      <w:tr w:rsidR="006724AB" w:rsidRPr="006724AB" w:rsidTr="006724AB">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r w:rsidRPr="006724AB">
              <w:rPr>
                <w:rFonts w:ascii="Arial" w:hAnsi="Arial" w:cs="Arial"/>
                <w:sz w:val="20"/>
                <w:szCs w:val="20"/>
              </w:rPr>
              <w:t>Mountainbike Trail Center Allgäuer Seenland: Baustein Buchenberger Fahrtechnikzentrum</w:t>
            </w:r>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r w:rsidRPr="006724AB">
              <w:rPr>
                <w:rFonts w:ascii="Arial" w:hAnsi="Arial" w:cs="Arial"/>
                <w:sz w:val="20"/>
                <w:szCs w:val="20"/>
              </w:rPr>
              <w:t>Markt Buchenberg</w:t>
            </w:r>
          </w:p>
        </w:tc>
        <w:tc>
          <w:tcPr>
            <w:tcW w:w="1574" w:type="dxa"/>
            <w:tcBorders>
              <w:top w:val="single" w:sz="4" w:space="0" w:color="auto"/>
              <w:left w:val="nil"/>
              <w:bottom w:val="single" w:sz="4" w:space="0" w:color="auto"/>
              <w:right w:val="single" w:sz="4" w:space="0" w:color="auto"/>
            </w:tcBorders>
            <w:shd w:val="clear" w:color="000000" w:fill="339966"/>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119.000,00 €</w:t>
            </w:r>
          </w:p>
        </w:tc>
        <w:tc>
          <w:tcPr>
            <w:tcW w:w="1474" w:type="dxa"/>
            <w:tcBorders>
              <w:top w:val="single" w:sz="4" w:space="0" w:color="auto"/>
              <w:left w:val="nil"/>
              <w:bottom w:val="single" w:sz="4" w:space="0" w:color="auto"/>
              <w:right w:val="single" w:sz="4" w:space="0" w:color="auto"/>
            </w:tcBorders>
            <w:shd w:val="clear" w:color="000000" w:fill="CCFFCC"/>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50.000,00 €</w:t>
            </w:r>
          </w:p>
        </w:tc>
      </w:tr>
      <w:tr w:rsidR="006724AB" w:rsidRPr="006724AB" w:rsidTr="006724AB">
        <w:trPr>
          <w:trHeight w:val="25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r w:rsidRPr="00972491">
              <w:rPr>
                <w:rFonts w:ascii="Arial" w:hAnsi="Arial" w:cs="Arial"/>
                <w:sz w:val="20"/>
                <w:szCs w:val="20"/>
              </w:rPr>
              <w:t>Ein Mühlrad für Wertach - Reaktivierung der Oberen Mühle Wertach</w:t>
            </w:r>
            <w:r w:rsidRPr="006724AB">
              <w:rPr>
                <w:rFonts w:ascii="Arial" w:hAnsi="Arial" w:cs="Arial"/>
                <w:sz w:val="20"/>
                <w:szCs w:val="20"/>
              </w:rPr>
              <w:t xml:space="preserve"> </w:t>
            </w:r>
          </w:p>
        </w:tc>
        <w:tc>
          <w:tcPr>
            <w:tcW w:w="2999" w:type="dxa"/>
            <w:tcBorders>
              <w:top w:val="nil"/>
              <w:left w:val="nil"/>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r w:rsidRPr="006724AB">
              <w:rPr>
                <w:rFonts w:ascii="Arial" w:hAnsi="Arial" w:cs="Arial"/>
                <w:sz w:val="20"/>
                <w:szCs w:val="20"/>
              </w:rPr>
              <w:t>Dr. Holger Ahlborn</w:t>
            </w:r>
          </w:p>
        </w:tc>
        <w:tc>
          <w:tcPr>
            <w:tcW w:w="1574" w:type="dxa"/>
            <w:tcBorders>
              <w:top w:val="nil"/>
              <w:left w:val="nil"/>
              <w:bottom w:val="single" w:sz="4" w:space="0" w:color="auto"/>
              <w:right w:val="single" w:sz="4" w:space="0" w:color="auto"/>
            </w:tcBorders>
            <w:shd w:val="clear" w:color="000000" w:fill="339966"/>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389.427,50 €</w:t>
            </w:r>
          </w:p>
        </w:tc>
        <w:tc>
          <w:tcPr>
            <w:tcW w:w="1474" w:type="dxa"/>
            <w:tcBorders>
              <w:top w:val="nil"/>
              <w:left w:val="nil"/>
              <w:bottom w:val="single" w:sz="4" w:space="0" w:color="auto"/>
              <w:right w:val="single" w:sz="4" w:space="0" w:color="auto"/>
            </w:tcBorders>
            <w:shd w:val="clear" w:color="000000" w:fill="CCFFCC"/>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98.175,00 €</w:t>
            </w:r>
          </w:p>
        </w:tc>
      </w:tr>
    </w:tbl>
    <w:p w:rsidR="006724AB" w:rsidRPr="00972491" w:rsidRDefault="006724AB" w:rsidP="006724AB">
      <w:pPr>
        <w:pStyle w:val="LAGStandard"/>
      </w:pPr>
    </w:p>
    <w:tbl>
      <w:tblPr>
        <w:tblW w:w="9728" w:type="dxa"/>
        <w:tblCellMar>
          <w:left w:w="70" w:type="dxa"/>
          <w:right w:w="70" w:type="dxa"/>
        </w:tblCellMar>
        <w:tblLook w:val="04A0" w:firstRow="1" w:lastRow="0" w:firstColumn="1" w:lastColumn="0" w:noHBand="0" w:noVBand="1"/>
      </w:tblPr>
      <w:tblGrid>
        <w:gridCol w:w="3681"/>
        <w:gridCol w:w="2999"/>
        <w:gridCol w:w="1574"/>
        <w:gridCol w:w="1474"/>
      </w:tblGrid>
      <w:tr w:rsidR="006724AB" w:rsidRPr="00972491" w:rsidTr="006724AB">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24AB" w:rsidRPr="00972491" w:rsidRDefault="006724AB" w:rsidP="00E9377C">
            <w:pPr>
              <w:spacing w:before="0" w:after="0"/>
              <w:rPr>
                <w:rFonts w:ascii="Arial" w:hAnsi="Arial" w:cs="Arial"/>
                <w:b/>
                <w:sz w:val="20"/>
                <w:szCs w:val="20"/>
              </w:rPr>
            </w:pPr>
            <w:r w:rsidRPr="00972491">
              <w:rPr>
                <w:rFonts w:ascii="Arial" w:hAnsi="Arial" w:cs="Arial"/>
                <w:b/>
                <w:sz w:val="20"/>
                <w:szCs w:val="20"/>
              </w:rPr>
              <w:t>Projekttitel</w:t>
            </w:r>
            <w:r w:rsidRPr="00972491">
              <w:rPr>
                <w:rFonts w:ascii="Arial" w:hAnsi="Arial" w:cs="Arial"/>
                <w:b/>
                <w:sz w:val="20"/>
                <w:szCs w:val="20"/>
              </w:rPr>
              <w:t xml:space="preserve"> Kooperationsprojekte</w:t>
            </w:r>
          </w:p>
        </w:tc>
        <w:tc>
          <w:tcPr>
            <w:tcW w:w="2999" w:type="dxa"/>
            <w:tcBorders>
              <w:top w:val="single" w:sz="4" w:space="0" w:color="auto"/>
              <w:left w:val="nil"/>
              <w:bottom w:val="single" w:sz="4" w:space="0" w:color="auto"/>
              <w:right w:val="single" w:sz="4" w:space="0" w:color="auto"/>
            </w:tcBorders>
            <w:shd w:val="clear" w:color="auto" w:fill="auto"/>
            <w:noWrap/>
            <w:vAlign w:val="bottom"/>
          </w:tcPr>
          <w:p w:rsidR="006724AB" w:rsidRPr="00972491" w:rsidRDefault="006724AB" w:rsidP="00E9377C">
            <w:pPr>
              <w:spacing w:before="0" w:after="0"/>
              <w:rPr>
                <w:rFonts w:ascii="Arial" w:hAnsi="Arial" w:cs="Arial"/>
                <w:b/>
                <w:sz w:val="20"/>
                <w:szCs w:val="20"/>
              </w:rPr>
            </w:pPr>
            <w:r w:rsidRPr="00972491">
              <w:rPr>
                <w:rFonts w:ascii="Arial" w:hAnsi="Arial" w:cs="Arial"/>
                <w:b/>
                <w:sz w:val="20"/>
                <w:szCs w:val="20"/>
              </w:rPr>
              <w:t>Projektträger</w:t>
            </w:r>
          </w:p>
        </w:tc>
        <w:tc>
          <w:tcPr>
            <w:tcW w:w="1574" w:type="dxa"/>
            <w:tcBorders>
              <w:top w:val="single" w:sz="4" w:space="0" w:color="auto"/>
              <w:left w:val="nil"/>
              <w:bottom w:val="single" w:sz="4" w:space="0" w:color="auto"/>
              <w:right w:val="single" w:sz="4" w:space="0" w:color="auto"/>
            </w:tcBorders>
            <w:shd w:val="clear" w:color="000000" w:fill="339966"/>
            <w:noWrap/>
            <w:vAlign w:val="bottom"/>
          </w:tcPr>
          <w:p w:rsidR="006724AB" w:rsidRPr="00972491" w:rsidRDefault="006724AB" w:rsidP="00E9377C">
            <w:pPr>
              <w:spacing w:before="0" w:after="0"/>
              <w:jc w:val="right"/>
              <w:rPr>
                <w:rFonts w:ascii="Arial" w:hAnsi="Arial" w:cs="Arial"/>
                <w:b/>
                <w:sz w:val="20"/>
                <w:szCs w:val="20"/>
              </w:rPr>
            </w:pPr>
            <w:r w:rsidRPr="00972491">
              <w:rPr>
                <w:rFonts w:ascii="Arial" w:hAnsi="Arial" w:cs="Arial"/>
                <w:b/>
                <w:sz w:val="20"/>
                <w:szCs w:val="20"/>
              </w:rPr>
              <w:t>Gesamtsumme brutto</w:t>
            </w:r>
          </w:p>
        </w:tc>
        <w:tc>
          <w:tcPr>
            <w:tcW w:w="1474" w:type="dxa"/>
            <w:tcBorders>
              <w:top w:val="single" w:sz="4" w:space="0" w:color="auto"/>
              <w:left w:val="nil"/>
              <w:bottom w:val="single" w:sz="4" w:space="0" w:color="auto"/>
              <w:right w:val="single" w:sz="4" w:space="0" w:color="auto"/>
            </w:tcBorders>
            <w:shd w:val="clear" w:color="000000" w:fill="CCFFCC"/>
            <w:noWrap/>
            <w:vAlign w:val="bottom"/>
          </w:tcPr>
          <w:p w:rsidR="006724AB" w:rsidRPr="00972491" w:rsidRDefault="006724AB" w:rsidP="00E9377C">
            <w:pPr>
              <w:spacing w:before="0" w:after="0"/>
              <w:jc w:val="right"/>
              <w:rPr>
                <w:rFonts w:ascii="Arial" w:hAnsi="Arial" w:cs="Arial"/>
                <w:b/>
                <w:sz w:val="20"/>
                <w:szCs w:val="20"/>
              </w:rPr>
            </w:pPr>
            <w:r w:rsidRPr="00972491">
              <w:rPr>
                <w:rFonts w:ascii="Arial" w:hAnsi="Arial" w:cs="Arial"/>
                <w:b/>
                <w:sz w:val="20"/>
                <w:szCs w:val="20"/>
              </w:rPr>
              <w:t>Fördersumme</w:t>
            </w:r>
            <w:r w:rsidRPr="00972491">
              <w:rPr>
                <w:rFonts w:ascii="Arial" w:hAnsi="Arial" w:cs="Arial"/>
                <w:b/>
                <w:sz w:val="20"/>
                <w:szCs w:val="20"/>
              </w:rPr>
              <w:t xml:space="preserve"> (Anteil LAG OA)</w:t>
            </w:r>
          </w:p>
        </w:tc>
      </w:tr>
      <w:tr w:rsidR="006724AB" w:rsidRPr="00972491" w:rsidTr="006724AB">
        <w:trPr>
          <w:trHeight w:val="25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r w:rsidRPr="006724AB">
              <w:rPr>
                <w:rFonts w:ascii="Arial" w:hAnsi="Arial" w:cs="Arial"/>
                <w:sz w:val="20"/>
                <w:szCs w:val="20"/>
              </w:rPr>
              <w:t>ÖPNV im Allgäu: Einheitliche Tarifstruktur und Tarifharmonisierung im Busverkehr</w:t>
            </w:r>
          </w:p>
        </w:tc>
        <w:tc>
          <w:tcPr>
            <w:tcW w:w="2999" w:type="dxa"/>
            <w:tcBorders>
              <w:top w:val="nil"/>
              <w:left w:val="nil"/>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r w:rsidRPr="006724AB">
              <w:rPr>
                <w:rFonts w:ascii="Arial" w:hAnsi="Arial" w:cs="Arial"/>
                <w:sz w:val="20"/>
                <w:szCs w:val="20"/>
              </w:rPr>
              <w:t>Mobilitätsgesellschaft für den Nahverkehr im Allgäu (</w:t>
            </w:r>
            <w:proofErr w:type="spellStart"/>
            <w:r w:rsidRPr="006724AB">
              <w:rPr>
                <w:rFonts w:ascii="Arial" w:hAnsi="Arial" w:cs="Arial"/>
                <w:sz w:val="20"/>
                <w:szCs w:val="20"/>
              </w:rPr>
              <w:t>mona</w:t>
            </w:r>
            <w:proofErr w:type="spellEnd"/>
            <w:r w:rsidRPr="006724AB">
              <w:rPr>
                <w:rFonts w:ascii="Arial" w:hAnsi="Arial" w:cs="Arial"/>
                <w:sz w:val="20"/>
                <w:szCs w:val="20"/>
              </w:rPr>
              <w:t xml:space="preserve"> GmbH)</w:t>
            </w:r>
          </w:p>
        </w:tc>
        <w:tc>
          <w:tcPr>
            <w:tcW w:w="1574" w:type="dxa"/>
            <w:tcBorders>
              <w:top w:val="nil"/>
              <w:left w:val="nil"/>
              <w:bottom w:val="single" w:sz="4" w:space="0" w:color="auto"/>
              <w:right w:val="single" w:sz="4" w:space="0" w:color="auto"/>
            </w:tcBorders>
            <w:shd w:val="clear" w:color="000000" w:fill="339966"/>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179.690,00 €</w:t>
            </w:r>
          </w:p>
        </w:tc>
        <w:tc>
          <w:tcPr>
            <w:tcW w:w="1474" w:type="dxa"/>
            <w:tcBorders>
              <w:top w:val="nil"/>
              <w:left w:val="nil"/>
              <w:bottom w:val="single" w:sz="4" w:space="0" w:color="auto"/>
              <w:right w:val="single" w:sz="4" w:space="0" w:color="auto"/>
            </w:tcBorders>
            <w:shd w:val="clear" w:color="000000" w:fill="CCFFCC"/>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51.113,86 €</w:t>
            </w:r>
          </w:p>
        </w:tc>
      </w:tr>
      <w:tr w:rsidR="006724AB" w:rsidRPr="006724AB" w:rsidTr="006724AB">
        <w:trPr>
          <w:trHeight w:val="25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proofErr w:type="spellStart"/>
            <w:r w:rsidRPr="006724AB">
              <w:rPr>
                <w:rFonts w:ascii="Arial" w:hAnsi="Arial" w:cs="Arial"/>
                <w:sz w:val="20"/>
                <w:szCs w:val="20"/>
              </w:rPr>
              <w:t>GeoNatur</w:t>
            </w:r>
            <w:proofErr w:type="spellEnd"/>
            <w:r w:rsidRPr="00972491">
              <w:rPr>
                <w:rFonts w:ascii="Arial" w:hAnsi="Arial" w:cs="Arial"/>
                <w:sz w:val="20"/>
                <w:szCs w:val="20"/>
              </w:rPr>
              <w:t xml:space="preserve"> – die Kraft der Natur erleben</w:t>
            </w:r>
            <w:r w:rsidRPr="006724AB">
              <w:rPr>
                <w:rFonts w:ascii="Arial" w:hAnsi="Arial" w:cs="Arial"/>
                <w:sz w:val="20"/>
                <w:szCs w:val="20"/>
              </w:rPr>
              <w:t>/</w:t>
            </w:r>
            <w:proofErr w:type="spellStart"/>
            <w:r w:rsidRPr="006724AB">
              <w:rPr>
                <w:rFonts w:ascii="Arial" w:hAnsi="Arial" w:cs="Arial"/>
                <w:sz w:val="20"/>
                <w:szCs w:val="20"/>
              </w:rPr>
              <w:t>Regenweg</w:t>
            </w:r>
            <w:proofErr w:type="spellEnd"/>
            <w:r w:rsidRPr="006724AB">
              <w:rPr>
                <w:rFonts w:ascii="Arial" w:hAnsi="Arial" w:cs="Arial"/>
                <w:sz w:val="20"/>
                <w:szCs w:val="20"/>
              </w:rPr>
              <w:t xml:space="preserve"> </w:t>
            </w:r>
            <w:proofErr w:type="spellStart"/>
            <w:r w:rsidRPr="006724AB">
              <w:rPr>
                <w:rFonts w:ascii="Arial" w:hAnsi="Arial" w:cs="Arial"/>
                <w:sz w:val="20"/>
                <w:szCs w:val="20"/>
              </w:rPr>
              <w:t>Balderschwang</w:t>
            </w:r>
            <w:proofErr w:type="spellEnd"/>
          </w:p>
        </w:tc>
        <w:tc>
          <w:tcPr>
            <w:tcW w:w="2999" w:type="dxa"/>
            <w:tcBorders>
              <w:top w:val="nil"/>
              <w:left w:val="nil"/>
              <w:bottom w:val="single" w:sz="4" w:space="0" w:color="auto"/>
              <w:right w:val="single" w:sz="4" w:space="0" w:color="auto"/>
            </w:tcBorders>
            <w:shd w:val="clear" w:color="auto" w:fill="auto"/>
            <w:noWrap/>
            <w:vAlign w:val="bottom"/>
            <w:hideMark/>
          </w:tcPr>
          <w:p w:rsidR="006724AB" w:rsidRPr="006724AB" w:rsidRDefault="006724AB" w:rsidP="006724AB">
            <w:pPr>
              <w:spacing w:before="0" w:after="0"/>
              <w:rPr>
                <w:rFonts w:ascii="Arial" w:hAnsi="Arial" w:cs="Arial"/>
                <w:sz w:val="20"/>
                <w:szCs w:val="20"/>
              </w:rPr>
            </w:pPr>
            <w:r w:rsidRPr="006724AB">
              <w:rPr>
                <w:rFonts w:ascii="Arial" w:hAnsi="Arial" w:cs="Arial"/>
                <w:sz w:val="20"/>
                <w:szCs w:val="20"/>
              </w:rPr>
              <w:t>Gemeinden</w:t>
            </w:r>
            <w:r w:rsidRPr="00972491">
              <w:rPr>
                <w:rFonts w:ascii="Arial" w:hAnsi="Arial" w:cs="Arial"/>
                <w:sz w:val="20"/>
                <w:szCs w:val="20"/>
              </w:rPr>
              <w:t xml:space="preserve"> </w:t>
            </w:r>
            <w:proofErr w:type="spellStart"/>
            <w:r w:rsidRPr="00972491">
              <w:rPr>
                <w:rFonts w:ascii="Arial" w:hAnsi="Arial" w:cs="Arial"/>
                <w:sz w:val="20"/>
                <w:szCs w:val="20"/>
              </w:rPr>
              <w:t>Hittisau</w:t>
            </w:r>
            <w:proofErr w:type="spellEnd"/>
            <w:r w:rsidRPr="00972491">
              <w:rPr>
                <w:rFonts w:ascii="Arial" w:hAnsi="Arial" w:cs="Arial"/>
                <w:sz w:val="20"/>
                <w:szCs w:val="20"/>
              </w:rPr>
              <w:t xml:space="preserve">, </w:t>
            </w:r>
            <w:proofErr w:type="spellStart"/>
            <w:r w:rsidRPr="00972491">
              <w:rPr>
                <w:rFonts w:ascii="Arial" w:hAnsi="Arial" w:cs="Arial"/>
                <w:sz w:val="20"/>
                <w:szCs w:val="20"/>
              </w:rPr>
              <w:t>Sibratsgfäll</w:t>
            </w:r>
            <w:proofErr w:type="spellEnd"/>
            <w:r w:rsidRPr="00972491">
              <w:rPr>
                <w:rFonts w:ascii="Arial" w:hAnsi="Arial" w:cs="Arial"/>
                <w:sz w:val="20"/>
                <w:szCs w:val="20"/>
              </w:rPr>
              <w:t xml:space="preserve">, Doren (jeweils AT) und </w:t>
            </w:r>
            <w:proofErr w:type="spellStart"/>
            <w:r w:rsidRPr="00972491">
              <w:rPr>
                <w:rFonts w:ascii="Arial" w:hAnsi="Arial" w:cs="Arial"/>
                <w:sz w:val="20"/>
                <w:szCs w:val="20"/>
              </w:rPr>
              <w:t>Balderschwang</w:t>
            </w:r>
            <w:proofErr w:type="spellEnd"/>
            <w:r w:rsidRPr="00972491">
              <w:rPr>
                <w:rFonts w:ascii="Arial" w:hAnsi="Arial" w:cs="Arial"/>
                <w:sz w:val="20"/>
                <w:szCs w:val="20"/>
              </w:rPr>
              <w:t xml:space="preserve"> (DE)</w:t>
            </w:r>
          </w:p>
        </w:tc>
        <w:tc>
          <w:tcPr>
            <w:tcW w:w="1574" w:type="dxa"/>
            <w:tcBorders>
              <w:top w:val="nil"/>
              <w:left w:val="nil"/>
              <w:bottom w:val="single" w:sz="4" w:space="0" w:color="auto"/>
              <w:right w:val="single" w:sz="4" w:space="0" w:color="auto"/>
            </w:tcBorders>
            <w:shd w:val="clear" w:color="000000" w:fill="339966"/>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225.735,00 €</w:t>
            </w:r>
          </w:p>
        </w:tc>
        <w:tc>
          <w:tcPr>
            <w:tcW w:w="1474" w:type="dxa"/>
            <w:tcBorders>
              <w:top w:val="nil"/>
              <w:left w:val="nil"/>
              <w:bottom w:val="single" w:sz="4" w:space="0" w:color="auto"/>
              <w:right w:val="single" w:sz="4" w:space="0" w:color="auto"/>
            </w:tcBorders>
            <w:shd w:val="clear" w:color="000000" w:fill="CCFFCC"/>
            <w:noWrap/>
            <w:vAlign w:val="bottom"/>
            <w:hideMark/>
          </w:tcPr>
          <w:p w:rsidR="006724AB" w:rsidRPr="006724AB" w:rsidRDefault="006724AB" w:rsidP="006724AB">
            <w:pPr>
              <w:spacing w:before="0" w:after="0"/>
              <w:jc w:val="right"/>
              <w:rPr>
                <w:rFonts w:ascii="Arial" w:hAnsi="Arial" w:cs="Arial"/>
                <w:sz w:val="20"/>
                <w:szCs w:val="20"/>
              </w:rPr>
            </w:pPr>
            <w:r w:rsidRPr="006724AB">
              <w:rPr>
                <w:rFonts w:ascii="Arial" w:hAnsi="Arial" w:cs="Arial"/>
                <w:sz w:val="20"/>
                <w:szCs w:val="20"/>
              </w:rPr>
              <w:t>19.747,65 €</w:t>
            </w:r>
          </w:p>
        </w:tc>
      </w:tr>
    </w:tbl>
    <w:p w:rsidR="001C37B9" w:rsidRDefault="001C37B9" w:rsidP="00100D14">
      <w:pPr>
        <w:pStyle w:val="LAGStandard"/>
      </w:pPr>
    </w:p>
    <w:p w:rsidR="007310E3" w:rsidRDefault="007310E3" w:rsidP="00100D14">
      <w:pPr>
        <w:pStyle w:val="LAGStandard"/>
      </w:pPr>
    </w:p>
    <w:p w:rsidR="007310E3" w:rsidRDefault="007310E3" w:rsidP="00100D14">
      <w:pPr>
        <w:pStyle w:val="LAGStandard"/>
      </w:pPr>
    </w:p>
    <w:p w:rsidR="001C37B9" w:rsidRDefault="007310E3" w:rsidP="00100D14">
      <w:pPr>
        <w:pStyle w:val="LAGStandard"/>
      </w:pPr>
      <w:r>
        <w:t xml:space="preserve">Immenstadt </w:t>
      </w:r>
      <w:proofErr w:type="spellStart"/>
      <w:r>
        <w:t>i.Allgäu</w:t>
      </w:r>
      <w:proofErr w:type="spellEnd"/>
      <w:r>
        <w:t>,</w:t>
      </w:r>
      <w:r w:rsidR="006724AB">
        <w:t xml:space="preserve"> 12.11.2017</w:t>
      </w:r>
      <w:bookmarkStart w:id="0" w:name="_GoBack"/>
      <w:bookmarkEnd w:id="0"/>
    </w:p>
    <w:p w:rsidR="007310E3" w:rsidRDefault="007310E3" w:rsidP="00100D14">
      <w:pPr>
        <w:pStyle w:val="LAGStandard"/>
      </w:pPr>
      <w:r>
        <w:t>Dr. Sabine Weizenegger</w:t>
      </w:r>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3741B6" w:rsidP="00100D14">
      <w:pPr>
        <w:pStyle w:val="LAGStandard"/>
      </w:pPr>
      <w:r w:rsidRPr="00E774C7">
        <w:t>Dr. Sabine Weizenegger</w:t>
      </w:r>
      <w:r w:rsidR="007310E3">
        <w:t xml:space="preserve"> (Geschäftsführerin)</w:t>
      </w:r>
    </w:p>
    <w:p w:rsidR="003741B6" w:rsidRPr="00E774C7" w:rsidRDefault="003741B6" w:rsidP="00100D14">
      <w:pPr>
        <w:pStyle w:val="LAGStandard"/>
      </w:pPr>
      <w:r w:rsidRPr="00E774C7">
        <w:t>Tel. +49.83</w:t>
      </w:r>
      <w:r w:rsidR="007310E3">
        <w:t>2</w:t>
      </w:r>
      <w:r w:rsidRPr="00E774C7">
        <w:t>3.</w:t>
      </w:r>
      <w:r w:rsidR="007310E3">
        <w:t>99836-10</w:t>
      </w:r>
      <w:r w:rsidRPr="00E774C7">
        <w:t xml:space="preserve"> oder +49.</w:t>
      </w:r>
      <w:r w:rsidR="00E938E9" w:rsidRPr="00E774C7">
        <w:t>160.8899989</w:t>
      </w:r>
    </w:p>
    <w:p w:rsidR="003741B6" w:rsidRPr="00E774C7" w:rsidRDefault="003741B6" w:rsidP="00100D14">
      <w:pPr>
        <w:pStyle w:val="LAGStandard"/>
      </w:pPr>
      <w:proofErr w:type="spellStart"/>
      <w:r w:rsidRPr="00E774C7">
        <w:t>E-mail</w:t>
      </w:r>
      <w:proofErr w:type="spellEnd"/>
      <w:r w:rsidRPr="00E774C7">
        <w:t xml:space="preserve">: </w:t>
      </w:r>
      <w:smartTag w:uri="urn:schemas-microsoft-com:office:smarttags" w:element="PersonName">
        <w:r w:rsidRPr="00E774C7">
          <w:t>weizenegger@regionalentwicklung-oa.de</w:t>
        </w:r>
      </w:smartTag>
    </w:p>
    <w:sectPr w:rsidR="003741B6" w:rsidRPr="00E774C7"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F9" w:rsidRDefault="00774BF9">
      <w:r>
        <w:separator/>
      </w:r>
    </w:p>
  </w:endnote>
  <w:endnote w:type="continuationSeparator" w:id="0">
    <w:p w:rsidR="00774BF9" w:rsidRDefault="007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F9" w:rsidRDefault="00774BF9">
      <w:r>
        <w:separator/>
      </w:r>
    </w:p>
  </w:footnote>
  <w:footnote w:type="continuationSeparator" w:id="0">
    <w:p w:rsidR="00774BF9" w:rsidRDefault="0077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88B8"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F9"/>
    <w:rsid w:val="000030FC"/>
    <w:rsid w:val="000231EC"/>
    <w:rsid w:val="0006510C"/>
    <w:rsid w:val="000A541F"/>
    <w:rsid w:val="00100D14"/>
    <w:rsid w:val="00126805"/>
    <w:rsid w:val="00146535"/>
    <w:rsid w:val="00173827"/>
    <w:rsid w:val="001828B3"/>
    <w:rsid w:val="00192D4F"/>
    <w:rsid w:val="001A743F"/>
    <w:rsid w:val="001C37B9"/>
    <w:rsid w:val="001D1ECF"/>
    <w:rsid w:val="001E631A"/>
    <w:rsid w:val="00220E3B"/>
    <w:rsid w:val="0024793E"/>
    <w:rsid w:val="002F15F2"/>
    <w:rsid w:val="003741B6"/>
    <w:rsid w:val="00396C8E"/>
    <w:rsid w:val="003A7DA3"/>
    <w:rsid w:val="00415FEE"/>
    <w:rsid w:val="0044549B"/>
    <w:rsid w:val="0045350D"/>
    <w:rsid w:val="004956B5"/>
    <w:rsid w:val="005424DA"/>
    <w:rsid w:val="00565178"/>
    <w:rsid w:val="00575946"/>
    <w:rsid w:val="00580CEF"/>
    <w:rsid w:val="00596A10"/>
    <w:rsid w:val="005A21E6"/>
    <w:rsid w:val="005A5F3A"/>
    <w:rsid w:val="005A780F"/>
    <w:rsid w:val="005F43A9"/>
    <w:rsid w:val="005F45F8"/>
    <w:rsid w:val="006063B7"/>
    <w:rsid w:val="00607882"/>
    <w:rsid w:val="00617D0A"/>
    <w:rsid w:val="00637E5A"/>
    <w:rsid w:val="006423CA"/>
    <w:rsid w:val="006446B1"/>
    <w:rsid w:val="006558D3"/>
    <w:rsid w:val="006724AB"/>
    <w:rsid w:val="0069473C"/>
    <w:rsid w:val="006A26F2"/>
    <w:rsid w:val="007310E3"/>
    <w:rsid w:val="00752AF5"/>
    <w:rsid w:val="00760F16"/>
    <w:rsid w:val="00774BF9"/>
    <w:rsid w:val="007F0459"/>
    <w:rsid w:val="00811818"/>
    <w:rsid w:val="008A72ED"/>
    <w:rsid w:val="008B0E15"/>
    <w:rsid w:val="008E0DAC"/>
    <w:rsid w:val="008F42B1"/>
    <w:rsid w:val="009202D2"/>
    <w:rsid w:val="009458A4"/>
    <w:rsid w:val="00946966"/>
    <w:rsid w:val="009722C2"/>
    <w:rsid w:val="00972491"/>
    <w:rsid w:val="00995C3D"/>
    <w:rsid w:val="00997B1C"/>
    <w:rsid w:val="009B2DF8"/>
    <w:rsid w:val="009B5890"/>
    <w:rsid w:val="00A61375"/>
    <w:rsid w:val="00AC6E69"/>
    <w:rsid w:val="00AD6CE2"/>
    <w:rsid w:val="00AE7BFE"/>
    <w:rsid w:val="00B2431B"/>
    <w:rsid w:val="00B66013"/>
    <w:rsid w:val="00B81450"/>
    <w:rsid w:val="00B8376A"/>
    <w:rsid w:val="00BD4664"/>
    <w:rsid w:val="00BE36BD"/>
    <w:rsid w:val="00BE67E2"/>
    <w:rsid w:val="00C41B34"/>
    <w:rsid w:val="00CA2ABA"/>
    <w:rsid w:val="00CA39CC"/>
    <w:rsid w:val="00CA5AE4"/>
    <w:rsid w:val="00CB6BB7"/>
    <w:rsid w:val="00D2020A"/>
    <w:rsid w:val="00D473DB"/>
    <w:rsid w:val="00D47C09"/>
    <w:rsid w:val="00D65A1F"/>
    <w:rsid w:val="00D9110A"/>
    <w:rsid w:val="00D94444"/>
    <w:rsid w:val="00DA64D8"/>
    <w:rsid w:val="00DC0D82"/>
    <w:rsid w:val="00DC2B05"/>
    <w:rsid w:val="00DD5FA1"/>
    <w:rsid w:val="00E06B38"/>
    <w:rsid w:val="00E435A0"/>
    <w:rsid w:val="00E774C7"/>
    <w:rsid w:val="00E938E9"/>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A7506FF-53D0-4B50-A7BD-B6AA091D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365">
      <w:bodyDiv w:val="1"/>
      <w:marLeft w:val="0"/>
      <w:marRight w:val="0"/>
      <w:marTop w:val="0"/>
      <w:marBottom w:val="0"/>
      <w:divBdr>
        <w:top w:val="none" w:sz="0" w:space="0" w:color="auto"/>
        <w:left w:val="none" w:sz="0" w:space="0" w:color="auto"/>
        <w:bottom w:val="none" w:sz="0" w:space="0" w:color="auto"/>
        <w:right w:val="none" w:sz="0" w:space="0" w:color="auto"/>
      </w:divBdr>
    </w:div>
    <w:div w:id="17141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2</Pages>
  <Words>618</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Regionalentwicklung Oberallgaeu</cp:lastModifiedBy>
  <cp:revision>3</cp:revision>
  <cp:lastPrinted>2009-04-28T09:39:00Z</cp:lastPrinted>
  <dcterms:created xsi:type="dcterms:W3CDTF">2017-11-10T07:59:00Z</dcterms:created>
  <dcterms:modified xsi:type="dcterms:W3CDTF">2017-11-10T08:36:00Z</dcterms:modified>
</cp:coreProperties>
</file>